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ED64" w14:textId="77777777" w:rsidR="00D64086" w:rsidRDefault="00D64086"/>
    <w:p w14:paraId="74C5B4B9" w14:textId="77777777" w:rsidR="000E2B5A" w:rsidRDefault="000E2B5A"/>
    <w:p w14:paraId="7470C2FE" w14:textId="77777777" w:rsidR="000E2B5A" w:rsidRDefault="000E2B5A"/>
    <w:p w14:paraId="770587B9" w14:textId="0F7D850E" w:rsidR="000E2B5A" w:rsidRPr="000E2B5A" w:rsidRDefault="000E2B5A" w:rsidP="000E2B5A">
      <w:pPr>
        <w:jc w:val="center"/>
        <w:rPr>
          <w:sz w:val="48"/>
          <w:szCs w:val="48"/>
        </w:rPr>
      </w:pPr>
      <w:r w:rsidRPr="000E2B5A">
        <w:rPr>
          <w:sz w:val="48"/>
          <w:szCs w:val="48"/>
        </w:rPr>
        <w:t>Andijvie Lucht</w:t>
      </w:r>
    </w:p>
    <w:p w14:paraId="30721B88" w14:textId="77777777" w:rsidR="000E2B5A" w:rsidRDefault="000E2B5A" w:rsidP="000E2B5A">
      <w:pPr>
        <w:jc w:val="center"/>
      </w:pPr>
    </w:p>
    <w:p w14:paraId="4E09EBBE" w14:textId="77777777" w:rsidR="000E2B5A" w:rsidRDefault="000E2B5A" w:rsidP="000E2B5A">
      <w:pPr>
        <w:jc w:val="center"/>
      </w:pPr>
    </w:p>
    <w:p w14:paraId="0BBBB965" w14:textId="2FAD909E" w:rsidR="000E2B5A" w:rsidRPr="000E2B5A" w:rsidRDefault="000E2B5A" w:rsidP="000E2B5A">
      <w:pPr>
        <w:jc w:val="center"/>
        <w:rPr>
          <w:sz w:val="40"/>
          <w:szCs w:val="40"/>
        </w:rPr>
      </w:pPr>
      <w:r w:rsidRPr="000E2B5A">
        <w:rPr>
          <w:sz w:val="40"/>
          <w:szCs w:val="40"/>
        </w:rPr>
        <w:t>Over</w:t>
      </w:r>
    </w:p>
    <w:p w14:paraId="266E6630" w14:textId="69DC51FE" w:rsidR="000E2B5A" w:rsidRPr="000E2B5A" w:rsidRDefault="000E2B5A" w:rsidP="000E2B5A">
      <w:pPr>
        <w:jc w:val="center"/>
        <w:rPr>
          <w:sz w:val="40"/>
          <w:szCs w:val="40"/>
        </w:rPr>
      </w:pPr>
      <w:r w:rsidRPr="000E2B5A">
        <w:rPr>
          <w:sz w:val="40"/>
          <w:szCs w:val="40"/>
        </w:rPr>
        <w:t>Repatriëring vanuit Nederlands-Indië 1945-1949</w:t>
      </w:r>
    </w:p>
    <w:p w14:paraId="62CF9C75" w14:textId="39E26BDB" w:rsidR="000E2B5A" w:rsidRPr="000E2B5A" w:rsidRDefault="000E2B5A" w:rsidP="000E2B5A">
      <w:pPr>
        <w:jc w:val="center"/>
        <w:rPr>
          <w:sz w:val="40"/>
          <w:szCs w:val="40"/>
        </w:rPr>
      </w:pPr>
      <w:r w:rsidRPr="000E2B5A">
        <w:rPr>
          <w:sz w:val="40"/>
          <w:szCs w:val="40"/>
        </w:rPr>
        <w:t>En</w:t>
      </w:r>
    </w:p>
    <w:p w14:paraId="3205864C" w14:textId="4345207B" w:rsidR="000E2B5A" w:rsidRPr="000E2B5A" w:rsidRDefault="000E2B5A" w:rsidP="000E2B5A">
      <w:pPr>
        <w:jc w:val="center"/>
        <w:rPr>
          <w:sz w:val="40"/>
          <w:szCs w:val="40"/>
        </w:rPr>
      </w:pPr>
      <w:r w:rsidRPr="000E2B5A">
        <w:rPr>
          <w:sz w:val="40"/>
          <w:szCs w:val="40"/>
        </w:rPr>
        <w:t>Repatriëring vanuit Indonesië 1950-1970</w:t>
      </w:r>
    </w:p>
    <w:p w14:paraId="50EF81B1" w14:textId="77777777" w:rsidR="000E2B5A" w:rsidRDefault="000E2B5A" w:rsidP="000E2B5A">
      <w:pPr>
        <w:jc w:val="center"/>
      </w:pPr>
    </w:p>
    <w:p w14:paraId="6F988C59" w14:textId="77777777" w:rsidR="000E2B5A" w:rsidRDefault="000E2B5A" w:rsidP="000E2B5A">
      <w:pPr>
        <w:jc w:val="center"/>
      </w:pPr>
    </w:p>
    <w:p w14:paraId="0DE08BCC" w14:textId="63EF6AD7" w:rsidR="000E2B5A" w:rsidRPr="000E2B5A" w:rsidRDefault="000E2B5A" w:rsidP="000E2B5A">
      <w:pPr>
        <w:jc w:val="center"/>
        <w:rPr>
          <w:sz w:val="32"/>
          <w:szCs w:val="32"/>
        </w:rPr>
      </w:pPr>
      <w:r w:rsidRPr="000E2B5A">
        <w:rPr>
          <w:sz w:val="32"/>
          <w:szCs w:val="32"/>
        </w:rPr>
        <w:t>400.000 mensen kwamen naar ons land</w:t>
      </w:r>
    </w:p>
    <w:p w14:paraId="795DFC11" w14:textId="21346EDD" w:rsidR="000E2B5A" w:rsidRPr="000E2B5A" w:rsidRDefault="000E2B5A" w:rsidP="000E2B5A">
      <w:pPr>
        <w:jc w:val="center"/>
        <w:rPr>
          <w:sz w:val="32"/>
          <w:szCs w:val="32"/>
        </w:rPr>
      </w:pPr>
      <w:r w:rsidRPr="000E2B5A">
        <w:rPr>
          <w:sz w:val="32"/>
          <w:szCs w:val="32"/>
        </w:rPr>
        <w:t>Hoe werden ze opgevangen?</w:t>
      </w:r>
    </w:p>
    <w:p w14:paraId="211B76AE" w14:textId="21B8CA32" w:rsidR="000E2B5A" w:rsidRDefault="000E2B5A" w:rsidP="000E2B5A">
      <w:pPr>
        <w:jc w:val="center"/>
        <w:rPr>
          <w:sz w:val="32"/>
          <w:szCs w:val="32"/>
        </w:rPr>
      </w:pPr>
      <w:r w:rsidRPr="000E2B5A">
        <w:rPr>
          <w:sz w:val="32"/>
          <w:szCs w:val="32"/>
        </w:rPr>
        <w:t>Wat was hun lot?</w:t>
      </w:r>
    </w:p>
    <w:p w14:paraId="0FC696C2" w14:textId="77777777" w:rsidR="00B7444F" w:rsidRPr="000E2B5A" w:rsidRDefault="00B7444F" w:rsidP="000E2B5A">
      <w:pPr>
        <w:jc w:val="center"/>
        <w:rPr>
          <w:sz w:val="32"/>
          <w:szCs w:val="32"/>
        </w:rPr>
      </w:pPr>
    </w:p>
    <w:p w14:paraId="0EBD4376" w14:textId="77777777" w:rsidR="000E2B5A" w:rsidRDefault="000E2B5A" w:rsidP="000E2B5A">
      <w:pPr>
        <w:jc w:val="center"/>
      </w:pPr>
    </w:p>
    <w:p w14:paraId="3FEE8B97" w14:textId="33D84BCB" w:rsidR="000E2B5A" w:rsidRDefault="000E2B5A" w:rsidP="000E2B5A">
      <w:pPr>
        <w:jc w:val="center"/>
      </w:pPr>
      <w:r>
        <w:t>Tekst uit het boek van</w:t>
      </w:r>
    </w:p>
    <w:p w14:paraId="7873C352" w14:textId="77777777" w:rsidR="000E2B5A" w:rsidRDefault="000E2B5A" w:rsidP="000E2B5A">
      <w:pPr>
        <w:jc w:val="center"/>
      </w:pPr>
    </w:p>
    <w:p w14:paraId="19C2C9FA" w14:textId="77777777" w:rsidR="000E2B5A" w:rsidRDefault="000E2B5A" w:rsidP="000E2B5A">
      <w:pPr>
        <w:jc w:val="center"/>
      </w:pPr>
    </w:p>
    <w:p w14:paraId="6F9454C0" w14:textId="6D82FDD3" w:rsidR="000E2B5A" w:rsidRPr="000E2B5A" w:rsidRDefault="000E2B5A" w:rsidP="000E2B5A">
      <w:pPr>
        <w:jc w:val="center"/>
        <w:rPr>
          <w:sz w:val="40"/>
          <w:szCs w:val="40"/>
        </w:rPr>
      </w:pPr>
      <w:r w:rsidRPr="000E2B5A">
        <w:rPr>
          <w:sz w:val="40"/>
          <w:szCs w:val="40"/>
        </w:rPr>
        <w:t>Griselda Molemans</w:t>
      </w:r>
    </w:p>
    <w:p w14:paraId="0C4DBBC2" w14:textId="77777777" w:rsidR="000E2B5A" w:rsidRPr="000E2B5A" w:rsidRDefault="000E2B5A" w:rsidP="000E2B5A">
      <w:pPr>
        <w:jc w:val="center"/>
        <w:rPr>
          <w:sz w:val="40"/>
          <w:szCs w:val="40"/>
        </w:rPr>
      </w:pPr>
    </w:p>
    <w:p w14:paraId="5A79B8E1" w14:textId="175B0725" w:rsidR="000E2B5A" w:rsidRDefault="000E2B5A" w:rsidP="000E2B5A">
      <w:pPr>
        <w:jc w:val="center"/>
        <w:rPr>
          <w:sz w:val="40"/>
          <w:szCs w:val="40"/>
        </w:rPr>
      </w:pPr>
      <w:r w:rsidRPr="000E2B5A">
        <w:rPr>
          <w:sz w:val="40"/>
          <w:szCs w:val="40"/>
        </w:rPr>
        <w:t>Opgevangen in Andijvielucht</w:t>
      </w:r>
    </w:p>
    <w:p w14:paraId="38A97DC0" w14:textId="77777777" w:rsidR="000E2B5A" w:rsidRDefault="000E2B5A" w:rsidP="000E2B5A">
      <w:pPr>
        <w:jc w:val="center"/>
        <w:rPr>
          <w:sz w:val="40"/>
          <w:szCs w:val="40"/>
        </w:rPr>
      </w:pPr>
    </w:p>
    <w:p w14:paraId="08B3F4F8" w14:textId="77777777" w:rsidR="000E2B5A" w:rsidRDefault="000E2B5A" w:rsidP="000E2B5A">
      <w:pPr>
        <w:jc w:val="center"/>
        <w:rPr>
          <w:sz w:val="40"/>
          <w:szCs w:val="40"/>
        </w:rPr>
      </w:pPr>
    </w:p>
    <w:p w14:paraId="219BD745" w14:textId="3E3EC35E" w:rsidR="000E2B5A" w:rsidRDefault="000E2B5A" w:rsidP="000E2B5A">
      <w:pPr>
        <w:jc w:val="center"/>
        <w:rPr>
          <w:sz w:val="40"/>
          <w:szCs w:val="40"/>
        </w:rPr>
      </w:pPr>
      <w:r>
        <w:rPr>
          <w:sz w:val="40"/>
          <w:szCs w:val="40"/>
        </w:rPr>
        <w:t>Jan Sterenborg</w:t>
      </w:r>
    </w:p>
    <w:p w14:paraId="27DB90C1" w14:textId="77777777" w:rsidR="000E2B5A" w:rsidRDefault="000E2B5A" w:rsidP="000E2B5A">
      <w:pPr>
        <w:jc w:val="center"/>
        <w:rPr>
          <w:sz w:val="40"/>
          <w:szCs w:val="40"/>
        </w:rPr>
      </w:pPr>
    </w:p>
    <w:p w14:paraId="7DA6ED78" w14:textId="05BDAE4A" w:rsidR="000E2B5A" w:rsidRDefault="000E2B5A" w:rsidP="000E2B5A">
      <w:pPr>
        <w:jc w:val="center"/>
        <w:rPr>
          <w:sz w:val="40"/>
          <w:szCs w:val="40"/>
        </w:rPr>
      </w:pPr>
      <w:r>
        <w:rPr>
          <w:sz w:val="40"/>
          <w:szCs w:val="40"/>
        </w:rPr>
        <w:t>2025</w:t>
      </w:r>
    </w:p>
    <w:p w14:paraId="6C9DFC68" w14:textId="77777777" w:rsidR="002F2B10" w:rsidRDefault="002F2B10" w:rsidP="000E2B5A">
      <w:pPr>
        <w:jc w:val="center"/>
        <w:rPr>
          <w:sz w:val="40"/>
          <w:szCs w:val="40"/>
        </w:rPr>
      </w:pPr>
    </w:p>
    <w:p w14:paraId="1D37A6DB" w14:textId="77777777" w:rsidR="002F2B10" w:rsidRDefault="002F2B10" w:rsidP="000E2B5A">
      <w:pPr>
        <w:jc w:val="center"/>
        <w:rPr>
          <w:sz w:val="40"/>
          <w:szCs w:val="40"/>
        </w:rPr>
      </w:pPr>
    </w:p>
    <w:p w14:paraId="20A84300" w14:textId="77777777" w:rsidR="002F2B10" w:rsidRDefault="002F2B10" w:rsidP="000E2B5A">
      <w:pPr>
        <w:jc w:val="center"/>
        <w:rPr>
          <w:sz w:val="40"/>
          <w:szCs w:val="40"/>
        </w:rPr>
      </w:pPr>
    </w:p>
    <w:p w14:paraId="2BDBFC41" w14:textId="77777777" w:rsidR="002F2B10" w:rsidRDefault="002F2B10" w:rsidP="000E2B5A">
      <w:pPr>
        <w:jc w:val="center"/>
        <w:rPr>
          <w:sz w:val="40"/>
          <w:szCs w:val="40"/>
        </w:rPr>
      </w:pPr>
    </w:p>
    <w:p w14:paraId="24ED1F94" w14:textId="77777777" w:rsidR="002F2B10" w:rsidRDefault="002F2B10" w:rsidP="000E2B5A">
      <w:pPr>
        <w:jc w:val="center"/>
        <w:rPr>
          <w:sz w:val="40"/>
          <w:szCs w:val="40"/>
        </w:rPr>
      </w:pPr>
    </w:p>
    <w:p w14:paraId="06854960" w14:textId="77777777" w:rsidR="002F2B10" w:rsidRDefault="002F2B10" w:rsidP="000E2B5A">
      <w:pPr>
        <w:jc w:val="center"/>
        <w:rPr>
          <w:sz w:val="40"/>
          <w:szCs w:val="40"/>
        </w:rPr>
      </w:pPr>
    </w:p>
    <w:p w14:paraId="74760C3D" w14:textId="5B588A75" w:rsidR="002F2B10" w:rsidRPr="00E14627" w:rsidRDefault="002F2B10" w:rsidP="000E2B5A">
      <w:pPr>
        <w:jc w:val="center"/>
        <w:rPr>
          <w:sz w:val="48"/>
          <w:szCs w:val="48"/>
        </w:rPr>
      </w:pPr>
      <w:r w:rsidRPr="00E14627">
        <w:rPr>
          <w:sz w:val="48"/>
          <w:szCs w:val="48"/>
        </w:rPr>
        <w:t>Proloog</w:t>
      </w:r>
    </w:p>
    <w:p w14:paraId="04A88F0D" w14:textId="77777777" w:rsidR="002F2B10" w:rsidRDefault="002F2B10" w:rsidP="000E2B5A">
      <w:pPr>
        <w:jc w:val="center"/>
        <w:rPr>
          <w:sz w:val="40"/>
          <w:szCs w:val="40"/>
        </w:rPr>
      </w:pPr>
    </w:p>
    <w:p w14:paraId="64276B87" w14:textId="0F7AD1ED" w:rsidR="002F2B10" w:rsidRDefault="002F2B10" w:rsidP="000E2B5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Dit is de tekstuele samenvatting van het boek van Griselda Molemans met de oorspronkelijke titel: </w:t>
      </w:r>
      <w:r w:rsidRPr="0040669F">
        <w:rPr>
          <w:i/>
          <w:iCs/>
          <w:sz w:val="40"/>
          <w:szCs w:val="40"/>
        </w:rPr>
        <w:t>Opgevangen in Andijvielucht</w:t>
      </w:r>
      <w:r>
        <w:rPr>
          <w:sz w:val="40"/>
          <w:szCs w:val="40"/>
        </w:rPr>
        <w:t>.</w:t>
      </w:r>
    </w:p>
    <w:p w14:paraId="6532FC97" w14:textId="1EBA2FC3" w:rsidR="002F2B10" w:rsidRDefault="002F2B10" w:rsidP="000E2B5A">
      <w:pPr>
        <w:jc w:val="center"/>
        <w:rPr>
          <w:sz w:val="40"/>
          <w:szCs w:val="40"/>
        </w:rPr>
      </w:pPr>
      <w:r>
        <w:rPr>
          <w:sz w:val="40"/>
          <w:szCs w:val="40"/>
        </w:rPr>
        <w:t>Dit boek verhaalt over de repatriëring van mensen uit Nederlands</w:t>
      </w:r>
      <w:r w:rsidR="0040669F">
        <w:rPr>
          <w:sz w:val="40"/>
          <w:szCs w:val="40"/>
        </w:rPr>
        <w:t>-</w:t>
      </w:r>
      <w:r>
        <w:rPr>
          <w:sz w:val="40"/>
          <w:szCs w:val="40"/>
        </w:rPr>
        <w:t>Indië in de periode 1945-1949 en de repatriëringen na de onafhankelijkheid van Indonesië in 1949 in de periode 1950-1970.</w:t>
      </w:r>
    </w:p>
    <w:p w14:paraId="79F5107A" w14:textId="66CE0D4D" w:rsidR="002F2B10" w:rsidRDefault="002F2B10" w:rsidP="000E2B5A">
      <w:pPr>
        <w:jc w:val="center"/>
        <w:rPr>
          <w:sz w:val="40"/>
          <w:szCs w:val="40"/>
        </w:rPr>
      </w:pPr>
      <w:r>
        <w:rPr>
          <w:sz w:val="40"/>
          <w:szCs w:val="40"/>
        </w:rPr>
        <w:t>Vele getuigenverklaringen worden in dit boek opgetekend en schetst een beeld van hoe onze regering, wij Nederland, met onze eigen mensen is omgegaan.</w:t>
      </w:r>
    </w:p>
    <w:p w14:paraId="1F0F2739" w14:textId="092385FA" w:rsidR="002F2B10" w:rsidRDefault="002F2B10" w:rsidP="000E2B5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Het laatste hoofdstuk de epiloog heb ik niet weergegeven omdat daarin vele juridische kwesties aangekaart worden. Maar omdat onze rechterlijke macht te politiek gekleurd oordeelt valt er </w:t>
      </w:r>
      <w:r w:rsidR="0040669F">
        <w:rPr>
          <w:sz w:val="40"/>
          <w:szCs w:val="40"/>
        </w:rPr>
        <w:t>weinig</w:t>
      </w:r>
      <w:r>
        <w:rPr>
          <w:sz w:val="40"/>
          <w:szCs w:val="40"/>
        </w:rPr>
        <w:t xml:space="preserve"> recht te behalen.</w:t>
      </w:r>
    </w:p>
    <w:p w14:paraId="4E0799BF" w14:textId="1927DB6D" w:rsidR="002F2B10" w:rsidRDefault="002F2B10" w:rsidP="000E2B5A">
      <w:pPr>
        <w:jc w:val="center"/>
        <w:rPr>
          <w:sz w:val="40"/>
          <w:szCs w:val="40"/>
        </w:rPr>
      </w:pPr>
      <w:r>
        <w:rPr>
          <w:sz w:val="40"/>
          <w:szCs w:val="40"/>
        </w:rPr>
        <w:t>Wat belangrijker voor mij is de morele kant van de zaak. Vanaf het moment dat de VOC</w:t>
      </w:r>
      <w:r w:rsidR="007423AA">
        <w:rPr>
          <w:sz w:val="40"/>
          <w:szCs w:val="40"/>
        </w:rPr>
        <w:t xml:space="preserve"> rond 1600 </w:t>
      </w:r>
      <w:r w:rsidR="0040669F">
        <w:rPr>
          <w:sz w:val="40"/>
          <w:szCs w:val="40"/>
        </w:rPr>
        <w:t>Indië</w:t>
      </w:r>
      <w:r w:rsidR="007423AA">
        <w:rPr>
          <w:sz w:val="40"/>
          <w:szCs w:val="40"/>
        </w:rPr>
        <w:t xml:space="preserve"> bezette en tot kolonie verhief tot aan 1949, het moment dat de staat Indonesië ontstond, zeg maar ruim 300 jaar, heeft Nederland miljarden aan dit </w:t>
      </w:r>
      <w:r w:rsidR="0040669F">
        <w:rPr>
          <w:sz w:val="40"/>
          <w:szCs w:val="40"/>
        </w:rPr>
        <w:t>gebied</w:t>
      </w:r>
      <w:r w:rsidR="007423AA">
        <w:rPr>
          <w:sz w:val="40"/>
          <w:szCs w:val="40"/>
        </w:rPr>
        <w:t xml:space="preserve"> verdient. Het bittere in dit verhaal is nu dat onder druk van </w:t>
      </w:r>
      <w:r w:rsidR="0040669F">
        <w:rPr>
          <w:sz w:val="40"/>
          <w:szCs w:val="40"/>
        </w:rPr>
        <w:t>Amerika</w:t>
      </w:r>
      <w:r w:rsidR="007423AA">
        <w:rPr>
          <w:sz w:val="40"/>
          <w:szCs w:val="40"/>
        </w:rPr>
        <w:t xml:space="preserve"> Nederland </w:t>
      </w:r>
      <w:r w:rsidR="0040669F">
        <w:rPr>
          <w:sz w:val="40"/>
          <w:szCs w:val="40"/>
        </w:rPr>
        <w:t>deze</w:t>
      </w:r>
      <w:r w:rsidR="007423AA">
        <w:rPr>
          <w:sz w:val="40"/>
          <w:szCs w:val="40"/>
        </w:rPr>
        <w:t xml:space="preserve"> inkomsten bron moest opgeven en dat daardoor ruim 400.000 mensen het </w:t>
      </w:r>
      <w:r w:rsidR="007423AA">
        <w:rPr>
          <w:sz w:val="40"/>
          <w:szCs w:val="40"/>
        </w:rPr>
        <w:lastRenderedPageBreak/>
        <w:t>land van Soekarno moesten verlaten en in Nederland terecht kwamen</w:t>
      </w:r>
      <w:r w:rsidR="004D4763">
        <w:rPr>
          <w:sz w:val="40"/>
          <w:szCs w:val="40"/>
        </w:rPr>
        <w:t>, waar z</w:t>
      </w:r>
      <w:r w:rsidR="007423AA">
        <w:rPr>
          <w:sz w:val="40"/>
          <w:szCs w:val="40"/>
        </w:rPr>
        <w:t>ij niet hartelijk ontvangen en verzorgd</w:t>
      </w:r>
      <w:r w:rsidR="004D4763">
        <w:rPr>
          <w:sz w:val="40"/>
          <w:szCs w:val="40"/>
        </w:rPr>
        <w:t xml:space="preserve"> werden</w:t>
      </w:r>
      <w:r w:rsidR="007423AA">
        <w:rPr>
          <w:sz w:val="40"/>
          <w:szCs w:val="40"/>
        </w:rPr>
        <w:t xml:space="preserve">: alles wat de </w:t>
      </w:r>
      <w:r w:rsidR="0040669F">
        <w:rPr>
          <w:sz w:val="40"/>
          <w:szCs w:val="40"/>
        </w:rPr>
        <w:t>Nederlandse</w:t>
      </w:r>
      <w:r w:rsidR="007423AA">
        <w:rPr>
          <w:sz w:val="40"/>
          <w:szCs w:val="40"/>
        </w:rPr>
        <w:t xml:space="preserve"> staat aan hen uitgaf werd als schuld op de schouders van deze mensen gelegd, en die</w:t>
      </w:r>
      <w:r w:rsidR="0040669F">
        <w:rPr>
          <w:sz w:val="40"/>
          <w:szCs w:val="40"/>
        </w:rPr>
        <w:t xml:space="preserve"> schuld</w:t>
      </w:r>
      <w:r w:rsidR="007423AA">
        <w:rPr>
          <w:sz w:val="40"/>
          <w:szCs w:val="40"/>
        </w:rPr>
        <w:t xml:space="preserve"> moesten ze terugbetalen. Ook al </w:t>
      </w:r>
      <w:r w:rsidR="0040669F">
        <w:rPr>
          <w:sz w:val="40"/>
          <w:szCs w:val="40"/>
        </w:rPr>
        <w:t>emigreerden</w:t>
      </w:r>
      <w:r w:rsidR="007423AA">
        <w:rPr>
          <w:sz w:val="40"/>
          <w:szCs w:val="40"/>
        </w:rPr>
        <w:t xml:space="preserve"> velen van hen naar Amerika, minister Marga Klompé eiste </w:t>
      </w:r>
      <w:r w:rsidR="0040669F">
        <w:rPr>
          <w:sz w:val="40"/>
          <w:szCs w:val="40"/>
        </w:rPr>
        <w:t>tegen</w:t>
      </w:r>
      <w:r w:rsidR="007423AA">
        <w:rPr>
          <w:sz w:val="40"/>
          <w:szCs w:val="40"/>
        </w:rPr>
        <w:t xml:space="preserve"> de wil van Amerika in dat ze beleven terug betalen. Ook de KNIL mensen werden zeer onheus behandeld. Na meer dan honderd jaar t</w:t>
      </w:r>
      <w:r w:rsidR="0040669F">
        <w:rPr>
          <w:sz w:val="40"/>
          <w:szCs w:val="40"/>
        </w:rPr>
        <w:t>r</w:t>
      </w:r>
      <w:r w:rsidR="007423AA">
        <w:rPr>
          <w:sz w:val="40"/>
          <w:szCs w:val="40"/>
        </w:rPr>
        <w:t>ouwe dienst kregen deze mens</w:t>
      </w:r>
      <w:r w:rsidR="0040669F">
        <w:rPr>
          <w:sz w:val="40"/>
          <w:szCs w:val="40"/>
        </w:rPr>
        <w:t>e</w:t>
      </w:r>
      <w:r w:rsidR="007423AA">
        <w:rPr>
          <w:sz w:val="40"/>
          <w:szCs w:val="40"/>
        </w:rPr>
        <w:t xml:space="preserve">n, omdat ze niet meer in het nieuwe Indonesië </w:t>
      </w:r>
      <w:r w:rsidR="0040669F">
        <w:rPr>
          <w:sz w:val="40"/>
          <w:szCs w:val="40"/>
        </w:rPr>
        <w:t xml:space="preserve">van dictator Soekarno </w:t>
      </w:r>
      <w:r w:rsidR="007423AA">
        <w:rPr>
          <w:sz w:val="40"/>
          <w:szCs w:val="40"/>
        </w:rPr>
        <w:t>welkom waren, bij a</w:t>
      </w:r>
      <w:r w:rsidR="0040669F">
        <w:rPr>
          <w:sz w:val="40"/>
          <w:szCs w:val="40"/>
        </w:rPr>
        <w:t xml:space="preserve">ankomst in Nederland te horen dat het KNIL leger opgeven was, met andere woorden ze werkeloos waren en geen inkomsten meer hadden. Diploma’s behaald in Nederlands-Indië op grond van Nederlands onderwijs werden in Nederland ongeldig verklaard! Deze Nederlandse onderdanen waar Nederland zoveel aan te danken had werden als oud vuil behandeld, het maatschappelijk werk </w:t>
      </w:r>
      <w:r w:rsidR="00E14627">
        <w:rPr>
          <w:sz w:val="40"/>
          <w:szCs w:val="40"/>
        </w:rPr>
        <w:t>bepaalde</w:t>
      </w:r>
      <w:r w:rsidR="0040669F">
        <w:rPr>
          <w:sz w:val="40"/>
          <w:szCs w:val="40"/>
        </w:rPr>
        <w:t xml:space="preserve"> welke meubels je mocht aanschaffen en welke kleding geschikt was. Een eigen inbreng was er niet</w:t>
      </w:r>
      <w:r w:rsidR="00E14627">
        <w:rPr>
          <w:sz w:val="40"/>
          <w:szCs w:val="40"/>
        </w:rPr>
        <w:t>, en dat terwijl het bestede geld door de mensen zelf terug betaald diende te worden. Jarenlang werd 60% van het verdiende loon ingehouden.</w:t>
      </w:r>
    </w:p>
    <w:p w14:paraId="63C09F96" w14:textId="4FD01489" w:rsidR="0040669F" w:rsidRDefault="0040669F" w:rsidP="000E2B5A">
      <w:pPr>
        <w:jc w:val="center"/>
        <w:rPr>
          <w:sz w:val="40"/>
          <w:szCs w:val="40"/>
        </w:rPr>
      </w:pPr>
      <w:r>
        <w:rPr>
          <w:sz w:val="40"/>
          <w:szCs w:val="40"/>
        </w:rPr>
        <w:t>Dit soort onrecht hoort niet in een rechtbank thuis, het is een collectieve schuld die wij als Nederland nog steeds moeten inlossen!</w:t>
      </w:r>
    </w:p>
    <w:p w14:paraId="799502A2" w14:textId="77777777" w:rsidR="00E14627" w:rsidRDefault="00E14627" w:rsidP="000E2B5A">
      <w:pPr>
        <w:jc w:val="center"/>
        <w:rPr>
          <w:sz w:val="40"/>
          <w:szCs w:val="40"/>
        </w:rPr>
      </w:pPr>
    </w:p>
    <w:p w14:paraId="173CEE31" w14:textId="77777777" w:rsidR="00B7444F" w:rsidRDefault="00B7444F" w:rsidP="000E2B5A">
      <w:pPr>
        <w:jc w:val="center"/>
        <w:rPr>
          <w:sz w:val="40"/>
          <w:szCs w:val="40"/>
        </w:rPr>
      </w:pPr>
    </w:p>
    <w:p w14:paraId="3BDE20CE" w14:textId="77777777" w:rsidR="00B7444F" w:rsidRDefault="00B7444F" w:rsidP="000E2B5A">
      <w:pPr>
        <w:jc w:val="center"/>
        <w:rPr>
          <w:sz w:val="40"/>
          <w:szCs w:val="40"/>
        </w:rPr>
      </w:pPr>
    </w:p>
    <w:p w14:paraId="775CDF3D" w14:textId="178A9E0D" w:rsidR="00E14627" w:rsidRDefault="00E14627" w:rsidP="000E2B5A">
      <w:pPr>
        <w:jc w:val="center"/>
        <w:rPr>
          <w:sz w:val="40"/>
          <w:szCs w:val="40"/>
        </w:rPr>
      </w:pPr>
      <w:r>
        <w:rPr>
          <w:sz w:val="40"/>
          <w:szCs w:val="40"/>
        </w:rPr>
        <w:t>In de Epiloog van het boek van Griselda Molemans worden de volgende punten benoemd:</w:t>
      </w:r>
    </w:p>
    <w:p w14:paraId="10516BF4" w14:textId="77777777" w:rsidR="00E14627" w:rsidRDefault="00E14627" w:rsidP="000E2B5A">
      <w:pPr>
        <w:jc w:val="center"/>
        <w:rPr>
          <w:sz w:val="40"/>
          <w:szCs w:val="40"/>
        </w:rPr>
      </w:pPr>
    </w:p>
    <w:p w14:paraId="0E1D5A83" w14:textId="3B3730D7" w:rsidR="00E14627" w:rsidRDefault="00E14627" w:rsidP="00E14627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De slepende </w:t>
      </w:r>
      <w:r w:rsidR="00B7444F">
        <w:rPr>
          <w:sz w:val="40"/>
          <w:szCs w:val="40"/>
        </w:rPr>
        <w:t>kwestie</w:t>
      </w:r>
      <w:r>
        <w:rPr>
          <w:sz w:val="40"/>
          <w:szCs w:val="40"/>
        </w:rPr>
        <w:t xml:space="preserve"> van de ‘backpay’ (claim1)</w:t>
      </w:r>
    </w:p>
    <w:p w14:paraId="2ADF73C3" w14:textId="4F5983BE" w:rsidR="00E14627" w:rsidRDefault="00E14627" w:rsidP="00E14627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De verdwenen KNIL-pe</w:t>
      </w:r>
      <w:r w:rsidR="00B7444F">
        <w:rPr>
          <w:sz w:val="40"/>
          <w:szCs w:val="40"/>
        </w:rPr>
        <w:t>n</w:t>
      </w:r>
      <w:r>
        <w:rPr>
          <w:sz w:val="40"/>
          <w:szCs w:val="40"/>
        </w:rPr>
        <w:t>sioendossiers (claim2)</w:t>
      </w:r>
    </w:p>
    <w:p w14:paraId="1E9696A8" w14:textId="09D15CBD" w:rsidR="00E14627" w:rsidRDefault="00E14627" w:rsidP="00E14627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De </w:t>
      </w:r>
      <w:r w:rsidR="00B7444F">
        <w:rPr>
          <w:sz w:val="40"/>
          <w:szCs w:val="40"/>
        </w:rPr>
        <w:t>Japanse</w:t>
      </w:r>
      <w:r>
        <w:rPr>
          <w:sz w:val="40"/>
          <w:szCs w:val="40"/>
        </w:rPr>
        <w:t xml:space="preserve"> compensatie voor </w:t>
      </w:r>
      <w:r w:rsidR="00B7444F">
        <w:rPr>
          <w:sz w:val="40"/>
          <w:szCs w:val="40"/>
        </w:rPr>
        <w:t>immateriële</w:t>
      </w:r>
      <w:r>
        <w:rPr>
          <w:sz w:val="40"/>
          <w:szCs w:val="40"/>
        </w:rPr>
        <w:t xml:space="preserve"> oorlogsschade aan voormalige </w:t>
      </w:r>
      <w:r w:rsidR="00B7444F">
        <w:rPr>
          <w:sz w:val="40"/>
          <w:szCs w:val="40"/>
        </w:rPr>
        <w:t>geïnterneerden</w:t>
      </w:r>
      <w:r>
        <w:rPr>
          <w:sz w:val="40"/>
          <w:szCs w:val="40"/>
        </w:rPr>
        <w:t xml:space="preserve"> (claim3)</w:t>
      </w:r>
    </w:p>
    <w:p w14:paraId="36CDA4CF" w14:textId="621443A7" w:rsidR="00E14627" w:rsidRDefault="00E14627" w:rsidP="00E14627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De Japanse compensatie voor </w:t>
      </w:r>
      <w:r w:rsidR="00B7444F">
        <w:rPr>
          <w:sz w:val="40"/>
          <w:szCs w:val="40"/>
        </w:rPr>
        <w:t>immateriële</w:t>
      </w:r>
      <w:r>
        <w:rPr>
          <w:sz w:val="40"/>
          <w:szCs w:val="40"/>
        </w:rPr>
        <w:t xml:space="preserve"> oorlogsschade aan voormalige burgergeïnterneerden (claim 4)</w:t>
      </w:r>
    </w:p>
    <w:p w14:paraId="0430637C" w14:textId="4F977C02" w:rsidR="00E14627" w:rsidRDefault="00E14627" w:rsidP="00E14627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Japanse schadevergoeding aan de zogeheten troostmeisjes (claim 5)</w:t>
      </w:r>
    </w:p>
    <w:p w14:paraId="3B3A9426" w14:textId="309214CD" w:rsidR="00E14627" w:rsidRDefault="00E14627" w:rsidP="00E14627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De Thaise compensatiegelden (claim 6)</w:t>
      </w:r>
    </w:p>
    <w:p w14:paraId="580338C3" w14:textId="2B52C836" w:rsidR="00E14627" w:rsidRDefault="00E14627" w:rsidP="00E14627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De Indonesische herstelbetalingen (claim 7)</w:t>
      </w:r>
    </w:p>
    <w:p w14:paraId="6397B82C" w14:textId="7BF1D9EF" w:rsidR="00E14627" w:rsidRDefault="00E14627" w:rsidP="00E14627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De nooit uitbetaalde</w:t>
      </w:r>
      <w:r w:rsidR="00B7444F">
        <w:rPr>
          <w:sz w:val="40"/>
          <w:szCs w:val="40"/>
        </w:rPr>
        <w:t xml:space="preserve"> Indische verzekeringspolissen (claim8)</w:t>
      </w:r>
    </w:p>
    <w:p w14:paraId="7E333FF2" w14:textId="7527AA9F" w:rsidR="00B7444F" w:rsidRDefault="00B7444F" w:rsidP="00E14627">
      <w:pPr>
        <w:pStyle w:val="Lijstalinea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De nooit uitgekeerde banktegoeden (claim 9)</w:t>
      </w:r>
    </w:p>
    <w:p w14:paraId="06CAB63E" w14:textId="2346E733" w:rsidR="00B7444F" w:rsidRPr="00E14627" w:rsidRDefault="00B7444F" w:rsidP="00B7444F">
      <w:pPr>
        <w:pStyle w:val="Lijstalinea"/>
        <w:numPr>
          <w:ilvl w:val="0"/>
          <w:numId w:val="1"/>
        </w:numPr>
        <w:ind w:left="993" w:hanging="633"/>
        <w:rPr>
          <w:sz w:val="40"/>
          <w:szCs w:val="40"/>
        </w:rPr>
      </w:pPr>
      <w:r>
        <w:rPr>
          <w:sz w:val="40"/>
          <w:szCs w:val="40"/>
        </w:rPr>
        <w:t>De nooit uitbetaalde Joodse levensverzekeringspolissen (claim 10)</w:t>
      </w:r>
    </w:p>
    <w:sectPr w:rsidR="00B7444F" w:rsidRPr="00E14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D0F15"/>
    <w:multiLevelType w:val="hybridMultilevel"/>
    <w:tmpl w:val="5BE608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0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5A"/>
    <w:rsid w:val="000E2B5A"/>
    <w:rsid w:val="00154D46"/>
    <w:rsid w:val="00267C84"/>
    <w:rsid w:val="002F16F2"/>
    <w:rsid w:val="002F2B10"/>
    <w:rsid w:val="00356ED5"/>
    <w:rsid w:val="003F64F0"/>
    <w:rsid w:val="0040669F"/>
    <w:rsid w:val="00422802"/>
    <w:rsid w:val="00432862"/>
    <w:rsid w:val="004D4763"/>
    <w:rsid w:val="007423AA"/>
    <w:rsid w:val="00824DA5"/>
    <w:rsid w:val="008728ED"/>
    <w:rsid w:val="00903AD4"/>
    <w:rsid w:val="009E3045"/>
    <w:rsid w:val="00AB77EF"/>
    <w:rsid w:val="00B7444F"/>
    <w:rsid w:val="00CE705F"/>
    <w:rsid w:val="00D130F9"/>
    <w:rsid w:val="00D64086"/>
    <w:rsid w:val="00E14627"/>
    <w:rsid w:val="00E370D0"/>
    <w:rsid w:val="00F55D68"/>
    <w:rsid w:val="00FC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1691"/>
  <w15:chartTrackingRefBased/>
  <w15:docId w15:val="{F013B086-953A-46F2-B2DD-EAC8318A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1A1F45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2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2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2B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2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2B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2B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2B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2B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2B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2B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2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2B5A"/>
    <w:rPr>
      <w:rFonts w:eastAsiaTheme="majorEastAsia" w:cstheme="majorBidi"/>
      <w:color w:val="2F5496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2B5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2B5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2B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2B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2B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2B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2B5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2B5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2B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2B5A"/>
    <w:rPr>
      <w:rFonts w:eastAsiaTheme="majorEastAsia" w:cstheme="majorBidi"/>
      <w:color w:val="595959" w:themeColor="text1" w:themeTint="A6"/>
      <w:spacing w:val="15"/>
    </w:rPr>
  </w:style>
  <w:style w:type="paragraph" w:styleId="Citaat">
    <w:name w:val="Quote"/>
    <w:basedOn w:val="Standaard"/>
    <w:next w:val="Standaard"/>
    <w:link w:val="CitaatChar"/>
    <w:uiPriority w:val="29"/>
    <w:qFormat/>
    <w:rsid w:val="000E2B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2B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2B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2B5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2B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2B5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2B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525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Zuchtelen</dc:creator>
  <cp:keywords/>
  <dc:description/>
  <cp:lastModifiedBy>Jan van Zuchtelen</cp:lastModifiedBy>
  <cp:revision>2</cp:revision>
  <dcterms:created xsi:type="dcterms:W3CDTF">2025-05-03T06:35:00Z</dcterms:created>
  <dcterms:modified xsi:type="dcterms:W3CDTF">2025-05-03T06:35:00Z</dcterms:modified>
</cp:coreProperties>
</file>